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4465A">
      <w:pPr>
        <w:spacing w:line="420" w:lineRule="atLeast"/>
        <w:ind w:left="840" w:hanging="210"/>
        <w:rPr>
          <w:rFonts w:ascii="Century" w:eastAsia="ＭＳ 明朝" w:hAnsi="ＭＳ 明朝" w:cs="ＭＳ 明朝"/>
          <w:color w:val="000000"/>
          <w:sz w:val="21"/>
          <w:szCs w:val="21"/>
        </w:rPr>
      </w:pPr>
      <w:bookmarkStart w:id="0" w:name="_GoBack"/>
      <w:bookmarkEnd w:id="0"/>
      <w:r>
        <w:rPr>
          <w:rFonts w:ascii="Century" w:eastAsia="ＭＳ 明朝" w:hAnsi="ＭＳ 明朝" w:cs="ＭＳ 明朝" w:hint="eastAsia"/>
          <w:color w:val="000000"/>
          <w:sz w:val="21"/>
          <w:szCs w:val="21"/>
        </w:rPr>
        <w:t>○四街道市市民参加条例施行規則</w:t>
      </w:r>
    </w:p>
    <w:p w:rsidR="00000000" w:rsidRDefault="0064465A">
      <w:pPr>
        <w:spacing w:line="44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平成１９年３月２８日</w:t>
      </w:r>
    </w:p>
    <w:p w:rsidR="00000000" w:rsidRDefault="0064465A">
      <w:pPr>
        <w:spacing w:line="440" w:lineRule="atLeast"/>
        <w:jc w:val="right"/>
        <w:rPr>
          <w:rFonts w:ascii="Century" w:eastAsia="ＭＳ 明朝" w:hAnsi="ＭＳ 明朝" w:cs="ＭＳ 明朝"/>
          <w:color w:val="000000"/>
        </w:rPr>
      </w:pPr>
      <w:r>
        <w:rPr>
          <w:rFonts w:ascii="Century" w:eastAsia="ＭＳ 明朝" w:hAnsi="ＭＳ 明朝" w:cs="ＭＳ 明朝" w:hint="eastAsia"/>
          <w:color w:val="000000"/>
        </w:rPr>
        <w:t>規則第３号</w:t>
      </w:r>
    </w:p>
    <w:p w:rsidR="00000000" w:rsidRDefault="0064465A">
      <w:pPr>
        <w:spacing w:line="440" w:lineRule="atLeast"/>
        <w:jc w:val="right"/>
        <w:rPr>
          <w:rFonts w:ascii="Century" w:eastAsia="ＭＳ 明朝" w:hAnsi="ＭＳ 明朝" w:cs="ＭＳ 明朝"/>
          <w:color w:val="000000"/>
        </w:rPr>
      </w:pPr>
      <w:r>
        <w:rPr>
          <w:rFonts w:ascii="Century" w:eastAsia="ＭＳ 明朝" w:hAnsi="ＭＳ 明朝" w:cs="ＭＳ 明朝" w:hint="eastAsia"/>
          <w:color w:val="000000"/>
        </w:rPr>
        <w:t>改正　平成２２年９月３０日規則第２４号</w:t>
      </w:r>
    </w:p>
    <w:p w:rsidR="00000000" w:rsidRDefault="0064465A">
      <w:pPr>
        <w:spacing w:line="44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平成２３年５月２４日規則第３０号</w:t>
      </w:r>
    </w:p>
    <w:p w:rsidR="00000000" w:rsidRDefault="0064465A">
      <w:pPr>
        <w:spacing w:line="44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平成２７年６月１９日規則第２３号</w:t>
      </w:r>
    </w:p>
    <w:p w:rsidR="00000000" w:rsidRDefault="0064465A">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（趣旨）</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第１条　この規則は、四街道市市民参加条例（平成１９年条例第５号。以下「条例」という。）の施行に関し必要な事項を定めるものとする。</w:t>
      </w:r>
    </w:p>
    <w:p w:rsidR="00000000" w:rsidRDefault="0064465A">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（用語）</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第２条　この規則において使用する用語は、条例において使用する用語の例による。</w:t>
      </w:r>
    </w:p>
    <w:p w:rsidR="00000000" w:rsidRDefault="0064465A">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（公表の方法）</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第３条　条例の規定による公表は、四街道市公告式条例（昭和３０年条例第２号）第２条第２項に規定する掲示場への掲示により行うほか、市の広報紙への掲載その他周知を図るため適切と認める方法により行うものとする。</w:t>
      </w:r>
    </w:p>
    <w:p w:rsidR="00000000" w:rsidRDefault="0064465A">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（大規模な市の施設）</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第４条　条例第６条第１項第４号の規則で定める大規模な市の施設は、その設置に係る事業費がおおむね５億円以上の市の建築物とする。</w:t>
      </w:r>
    </w:p>
    <w:p w:rsidR="00000000" w:rsidRDefault="0064465A">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（平２２規則２４・一部改正）</w:t>
      </w:r>
    </w:p>
    <w:p w:rsidR="00000000" w:rsidRDefault="0064465A">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（審議会等）</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第５条　条例第７条第</w:t>
      </w:r>
      <w:r>
        <w:rPr>
          <w:rFonts w:ascii="Century" w:eastAsia="ＭＳ 明朝" w:hAnsi="ＭＳ 明朝" w:cs="ＭＳ 明朝" w:hint="eastAsia"/>
          <w:color w:val="000000"/>
        </w:rPr>
        <w:t>３号の規則で定める審議会等は、当該審議会等の委員定数に対する公募による市民等の割合が２割以上ある審議会等とする。</w:t>
      </w:r>
    </w:p>
    <w:p w:rsidR="00000000" w:rsidRDefault="0064465A">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（平２２規則２４・追加）</w:t>
      </w:r>
    </w:p>
    <w:p w:rsidR="00000000" w:rsidRDefault="0064465A">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（意見提出手続）</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第６条　条例第９条第４項の規則で定める事項は、次に掲げる事項とする。</w:t>
      </w:r>
    </w:p>
    <w:p w:rsidR="00000000" w:rsidRDefault="0064465A">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計画等の案の名称</w:t>
      </w:r>
    </w:p>
    <w:p w:rsidR="00000000" w:rsidRDefault="0064465A">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計画等の案に対する意見及びその理由</w:t>
      </w:r>
    </w:p>
    <w:p w:rsidR="00000000" w:rsidRDefault="0064465A">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次のアからオまでに掲げる区分に応じ、それぞれアからオまでに定める事項</w:t>
      </w:r>
    </w:p>
    <w:p w:rsidR="00000000" w:rsidRDefault="0064465A">
      <w:pPr>
        <w:spacing w:line="440" w:lineRule="atLeast"/>
        <w:ind w:left="660" w:hanging="220"/>
        <w:rPr>
          <w:rFonts w:ascii="Century" w:eastAsia="ＭＳ 明朝" w:hAnsi="ＭＳ 明朝" w:cs="ＭＳ 明朝"/>
          <w:color w:val="000000"/>
        </w:rPr>
      </w:pPr>
      <w:r>
        <w:rPr>
          <w:rFonts w:ascii="Century" w:eastAsia="ＭＳ 明朝" w:hAnsi="ＭＳ 明朝" w:cs="ＭＳ 明朝" w:hint="eastAsia"/>
          <w:color w:val="000000"/>
        </w:rPr>
        <w:t>ア　市内に住所を有する者　住所及び氏名</w:t>
      </w:r>
    </w:p>
    <w:p w:rsidR="00000000" w:rsidRDefault="0064465A">
      <w:pPr>
        <w:spacing w:line="440" w:lineRule="atLeast"/>
        <w:ind w:left="660" w:hanging="220"/>
        <w:rPr>
          <w:rFonts w:ascii="Century" w:eastAsia="ＭＳ 明朝" w:hAnsi="ＭＳ 明朝" w:cs="ＭＳ 明朝"/>
          <w:color w:val="000000"/>
        </w:rPr>
      </w:pPr>
      <w:r>
        <w:rPr>
          <w:rFonts w:ascii="Century" w:eastAsia="ＭＳ 明朝" w:hAnsi="ＭＳ 明朝" w:cs="ＭＳ 明朝" w:hint="eastAsia"/>
          <w:color w:val="000000"/>
        </w:rPr>
        <w:lastRenderedPageBreak/>
        <w:t>イ　市内に事務所又は事業所を有する個人及び法人その他の団体　個人の場合にあっては住所及び氏名並び</w:t>
      </w:r>
      <w:r>
        <w:rPr>
          <w:rFonts w:ascii="Century" w:eastAsia="ＭＳ 明朝" w:hAnsi="ＭＳ 明朝" w:cs="ＭＳ 明朝" w:hint="eastAsia"/>
          <w:color w:val="000000"/>
        </w:rPr>
        <w:t>に事務所又は事業所の名称及び所在地、法人その他の団体の場合にあっては事務所又は事業所の名称、所在地及び代表者の氏名</w:t>
      </w:r>
    </w:p>
    <w:p w:rsidR="00000000" w:rsidRDefault="0064465A">
      <w:pPr>
        <w:spacing w:line="440" w:lineRule="atLeast"/>
        <w:ind w:left="660" w:hanging="220"/>
        <w:rPr>
          <w:rFonts w:ascii="Century" w:eastAsia="ＭＳ 明朝" w:hAnsi="ＭＳ 明朝" w:cs="ＭＳ 明朝"/>
          <w:color w:val="000000"/>
        </w:rPr>
      </w:pPr>
      <w:r>
        <w:rPr>
          <w:rFonts w:ascii="Century" w:eastAsia="ＭＳ 明朝" w:hAnsi="ＭＳ 明朝" w:cs="ＭＳ 明朝" w:hint="eastAsia"/>
          <w:color w:val="000000"/>
        </w:rPr>
        <w:t>ウ　市内の事務所又は事業所に勤務する者（以下「在勤者」という。）　氏名並びに事務所又は事業所の名称及び所在地</w:t>
      </w:r>
    </w:p>
    <w:p w:rsidR="00000000" w:rsidRDefault="0064465A">
      <w:pPr>
        <w:spacing w:line="440" w:lineRule="atLeast"/>
        <w:ind w:left="660" w:hanging="220"/>
        <w:rPr>
          <w:rFonts w:ascii="Century" w:eastAsia="ＭＳ 明朝" w:hAnsi="ＭＳ 明朝" w:cs="ＭＳ 明朝"/>
          <w:color w:val="000000"/>
        </w:rPr>
      </w:pPr>
      <w:r>
        <w:rPr>
          <w:rFonts w:ascii="Century" w:eastAsia="ＭＳ 明朝" w:hAnsi="ＭＳ 明朝" w:cs="ＭＳ 明朝" w:hint="eastAsia"/>
          <w:color w:val="000000"/>
        </w:rPr>
        <w:t>エ　市内の学校に在学する者（以下「在学者」という。）　氏名並びに学校の名称及び所在地</w:t>
      </w:r>
    </w:p>
    <w:p w:rsidR="00000000" w:rsidRDefault="0064465A">
      <w:pPr>
        <w:spacing w:line="440" w:lineRule="atLeast"/>
        <w:ind w:left="660" w:hanging="220"/>
        <w:rPr>
          <w:rFonts w:ascii="Century" w:eastAsia="ＭＳ 明朝" w:hAnsi="ＭＳ 明朝" w:cs="ＭＳ 明朝"/>
          <w:color w:val="000000"/>
        </w:rPr>
      </w:pPr>
      <w:r>
        <w:rPr>
          <w:rFonts w:ascii="Century" w:eastAsia="ＭＳ 明朝" w:hAnsi="ＭＳ 明朝" w:cs="ＭＳ 明朝" w:hint="eastAsia"/>
          <w:color w:val="000000"/>
        </w:rPr>
        <w:t>オ　計画等の案に利害関係を有するもの（以下「利害関係者」という。）　個人の場合にあっては住所及び氏名並びに利害関係を有する事項、法人その他の団体の場合にあっては事務所又は事業所の名称、所在地及び代表者</w:t>
      </w:r>
      <w:r>
        <w:rPr>
          <w:rFonts w:ascii="Century" w:eastAsia="ＭＳ 明朝" w:hAnsi="ＭＳ 明朝" w:cs="ＭＳ 明朝" w:hint="eastAsia"/>
          <w:color w:val="000000"/>
        </w:rPr>
        <w:t>の氏名並びに利害関係を有する事項</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２　条例第９条第４項の規則で定める方法は、次に掲げる方法とする。</w:t>
      </w:r>
    </w:p>
    <w:p w:rsidR="00000000" w:rsidRDefault="0064465A">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持参</w:t>
      </w:r>
    </w:p>
    <w:p w:rsidR="00000000" w:rsidRDefault="0064465A">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郵送</w:t>
      </w:r>
    </w:p>
    <w:p w:rsidR="00000000" w:rsidRDefault="0064465A">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ファクシミリ</w:t>
      </w:r>
    </w:p>
    <w:p w:rsidR="00000000" w:rsidRDefault="0064465A">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電子メール</w:t>
      </w:r>
    </w:p>
    <w:p w:rsidR="00000000" w:rsidRDefault="0064465A">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前各号に掲げるもののほか、市の機関が適当と認める方法</w:t>
      </w:r>
    </w:p>
    <w:p w:rsidR="00000000" w:rsidRDefault="0064465A">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（平２２規則２４・旧第５条繰下・一部改正）</w:t>
      </w:r>
    </w:p>
    <w:p w:rsidR="00000000" w:rsidRDefault="0064465A">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（意見交換会手続）</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第７条　条例第１０条第４項の規則で定める事項は、前条第１項第３号アからオまでに掲げる事項とする。</w:t>
      </w:r>
    </w:p>
    <w:p w:rsidR="00000000" w:rsidRDefault="0064465A">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（平２２規則２４・旧第６条繰下）</w:t>
      </w:r>
    </w:p>
    <w:p w:rsidR="00000000" w:rsidRDefault="0064465A">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（市民提案手続）</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第８条　条例第１３条第１項の規定により市民提案を行おうとする者は、</w:t>
      </w:r>
      <w:r>
        <w:rPr>
          <w:rFonts w:ascii="Century" w:eastAsia="ＭＳ 明朝" w:hAnsi="ＭＳ 明朝" w:cs="ＭＳ 明朝" w:hint="eastAsia"/>
          <w:color w:val="000000"/>
        </w:rPr>
        <w:t>市民提案書（様式第１号）及び市民提案者署名簿（様式第２号）に関係資料を添えて市の機関に提出するものとする。</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２　条例第１３条第１項に規定する連署は、市民提案書と一体とした市民提案者署名簿に必要事項を記載することにより行うものとする。</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３　条例第１３条第５項の規定による通知は、市民提案検討結果通知書（様式第３号）に</w:t>
      </w:r>
      <w:r>
        <w:rPr>
          <w:rFonts w:ascii="Century" w:eastAsia="ＭＳ 明朝" w:hAnsi="ＭＳ 明朝" w:cs="ＭＳ 明朝" w:hint="eastAsia"/>
          <w:color w:val="000000"/>
        </w:rPr>
        <w:lastRenderedPageBreak/>
        <w:t>よるものとする。</w:t>
      </w:r>
    </w:p>
    <w:p w:rsidR="00000000" w:rsidRDefault="0064465A">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（平２２規則２４・旧第７条繰下、平２３規則３０・一部改正）</w:t>
      </w:r>
    </w:p>
    <w:p w:rsidR="00000000" w:rsidRDefault="0064465A">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（委員会の組織）</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第９条　条例第１４条第１項の規定により設置する委員会に委員長を置き、委員の互選によってこれを定める。</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２　委員長は、会務を総理し、委員会を代表する。</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３　委員長に事故があるとき、又は欠けたときは、あらかじめ委員長が指名する委員がその職務を代理する。</w:t>
      </w:r>
    </w:p>
    <w:p w:rsidR="00000000" w:rsidRDefault="0064465A">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（平２２規則２４・旧第８条繰下）</w:t>
      </w:r>
    </w:p>
    <w:p w:rsidR="00000000" w:rsidRDefault="0064465A">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（委員会の会議）</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10</w:t>
      </w:r>
      <w:r>
        <w:rPr>
          <w:rFonts w:ascii="Century" w:eastAsia="ＭＳ 明朝" w:hAnsi="ＭＳ 明朝" w:cs="ＭＳ 明朝" w:hint="eastAsia"/>
          <w:color w:val="000000"/>
        </w:rPr>
        <w:t>条　委員会の会議（以下「会議」という。）は、委員長が招集し、議長となる。</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２　会議は、委員の３分の２以上の出席がなければ開くことができない。</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３　会議の議事は、出席委員の過半数をもって決し、可否同数のときは、議長の決するところによる。</w:t>
      </w:r>
    </w:p>
    <w:p w:rsidR="00000000" w:rsidRDefault="0064465A">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（平２２規則２４・旧第９条繰下）</w:t>
      </w:r>
    </w:p>
    <w:p w:rsidR="00000000" w:rsidRDefault="0064465A">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（部会の設置）</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11</w:t>
      </w:r>
      <w:r>
        <w:rPr>
          <w:rFonts w:ascii="Century" w:eastAsia="ＭＳ 明朝" w:hAnsi="ＭＳ 明朝" w:cs="ＭＳ 明朝" w:hint="eastAsia"/>
          <w:color w:val="000000"/>
        </w:rPr>
        <w:t>条　委員会は、</w:t>
      </w:r>
      <w:r>
        <w:rPr>
          <w:rFonts w:ascii="Century" w:eastAsia="ＭＳ 明朝" w:hAnsi="ＭＳ 明朝" w:cs="ＭＳ 明朝" w:hint="eastAsia"/>
          <w:color w:val="000000"/>
        </w:rPr>
        <w:t>その定めるところにより、部会を置くことができる。</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２　部会に属すべき委員は、委員長が指名する。</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３　部会に部会長を置き、当該部会に属する委員の互選によってこれを選任する。</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４　部会長は、当該部会の事務を総理し、当該部会を代表する。</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５　部会長に事故があるとき、又は欠けたときは、あらかじめ部会長が指名する部会に属する委員がその職務を代理する。</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６　前条の規定は、部会に準用する。</w:t>
      </w:r>
    </w:p>
    <w:p w:rsidR="00000000" w:rsidRDefault="0064465A">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（平２２規則２４・追加）</w:t>
      </w:r>
    </w:p>
    <w:p w:rsidR="00000000" w:rsidRDefault="0064465A">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（委員会の庶務）</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12</w:t>
      </w:r>
      <w:r>
        <w:rPr>
          <w:rFonts w:ascii="Century" w:eastAsia="ＭＳ 明朝" w:hAnsi="ＭＳ 明朝" w:cs="ＭＳ 明朝" w:hint="eastAsia"/>
          <w:color w:val="000000"/>
        </w:rPr>
        <w:t>条　委員会の庶務は、経営企画部シティセールス推進課において処理する。</w:t>
      </w:r>
    </w:p>
    <w:p w:rsidR="00000000" w:rsidRDefault="0064465A">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（平２２規則</w:t>
      </w:r>
      <w:r>
        <w:rPr>
          <w:rFonts w:ascii="Century" w:eastAsia="ＭＳ 明朝" w:hAnsi="ＭＳ 明朝" w:cs="ＭＳ 明朝" w:hint="eastAsia"/>
          <w:color w:val="000000"/>
        </w:rPr>
        <w:t>２４・旧第１０条繰下、平２７規則２３・一部改正）</w:t>
      </w:r>
    </w:p>
    <w:p w:rsidR="00000000" w:rsidRDefault="0064465A">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（補則）</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13</w:t>
      </w:r>
      <w:r>
        <w:rPr>
          <w:rFonts w:ascii="Century" w:eastAsia="ＭＳ 明朝" w:hAnsi="ＭＳ 明朝" w:cs="ＭＳ 明朝" w:hint="eastAsia"/>
          <w:color w:val="000000"/>
        </w:rPr>
        <w:t>条　この規則に定めるもののほか必要な事項は、別に定める。</w:t>
      </w:r>
    </w:p>
    <w:p w:rsidR="00000000" w:rsidRDefault="0064465A">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lastRenderedPageBreak/>
        <w:t>（平２２規則２４・旧第１１条繰下）</w:t>
      </w:r>
    </w:p>
    <w:p w:rsidR="00000000" w:rsidRDefault="0064465A">
      <w:pPr>
        <w:spacing w:line="440" w:lineRule="atLeast"/>
        <w:ind w:left="660"/>
        <w:rPr>
          <w:rFonts w:ascii="Century" w:eastAsia="ＭＳ 明朝" w:hAnsi="ＭＳ 明朝" w:cs="ＭＳ 明朝"/>
          <w:color w:val="000000"/>
        </w:rPr>
      </w:pPr>
      <w:r>
        <w:rPr>
          <w:rFonts w:ascii="Century" w:eastAsia="ＭＳ 明朝" w:hAnsi="ＭＳ 明朝" w:cs="ＭＳ 明朝" w:hint="eastAsia"/>
          <w:color w:val="000000"/>
        </w:rPr>
        <w:t>附　則</w:t>
      </w:r>
    </w:p>
    <w:p w:rsidR="00000000" w:rsidRDefault="0064465A">
      <w:pPr>
        <w:spacing w:line="440" w:lineRule="atLeast"/>
        <w:ind w:firstLine="220"/>
        <w:rPr>
          <w:rFonts w:ascii="Century" w:eastAsia="ＭＳ 明朝" w:hAnsi="ＭＳ 明朝" w:cs="ＭＳ 明朝"/>
          <w:color w:val="000000"/>
        </w:rPr>
      </w:pPr>
      <w:r>
        <w:rPr>
          <w:rFonts w:ascii="Century" w:eastAsia="ＭＳ 明朝" w:hAnsi="ＭＳ 明朝" w:cs="ＭＳ 明朝" w:hint="eastAsia"/>
          <w:color w:val="000000"/>
        </w:rPr>
        <w:t>この規則は、平成１９年４月１日から施行する。</w:t>
      </w:r>
    </w:p>
    <w:p w:rsidR="00000000" w:rsidRDefault="0064465A">
      <w:pPr>
        <w:spacing w:line="440" w:lineRule="atLeast"/>
        <w:ind w:left="660"/>
        <w:rPr>
          <w:rFonts w:ascii="Century" w:eastAsia="ＭＳ 明朝" w:hAnsi="ＭＳ 明朝" w:cs="ＭＳ 明朝"/>
          <w:color w:val="000000"/>
        </w:rPr>
      </w:pPr>
      <w:r>
        <w:rPr>
          <w:rFonts w:ascii="Century" w:eastAsia="ＭＳ 明朝" w:hAnsi="ＭＳ 明朝" w:cs="ＭＳ 明朝" w:hint="eastAsia"/>
          <w:color w:val="000000"/>
        </w:rPr>
        <w:t>附　則（平成２２年規則第２４号）</w:t>
      </w:r>
    </w:p>
    <w:p w:rsidR="00000000" w:rsidRDefault="0064465A">
      <w:pPr>
        <w:spacing w:line="440" w:lineRule="atLeast"/>
        <w:ind w:firstLine="220"/>
        <w:rPr>
          <w:rFonts w:ascii="Century" w:eastAsia="ＭＳ 明朝" w:hAnsi="ＭＳ 明朝" w:cs="ＭＳ 明朝"/>
          <w:color w:val="000000"/>
        </w:rPr>
      </w:pPr>
      <w:r>
        <w:rPr>
          <w:rFonts w:ascii="Century" w:eastAsia="ＭＳ 明朝" w:hAnsi="ＭＳ 明朝" w:cs="ＭＳ 明朝" w:hint="eastAsia"/>
          <w:color w:val="000000"/>
        </w:rPr>
        <w:t>この規則は、公布の日から施行する。</w:t>
      </w:r>
    </w:p>
    <w:p w:rsidR="00000000" w:rsidRDefault="0064465A">
      <w:pPr>
        <w:spacing w:line="440" w:lineRule="atLeast"/>
        <w:ind w:left="660"/>
        <w:rPr>
          <w:rFonts w:ascii="Century" w:eastAsia="ＭＳ 明朝" w:hAnsi="ＭＳ 明朝" w:cs="ＭＳ 明朝"/>
          <w:color w:val="000000"/>
        </w:rPr>
      </w:pPr>
      <w:r>
        <w:rPr>
          <w:rFonts w:ascii="Century" w:eastAsia="ＭＳ 明朝" w:hAnsi="ＭＳ 明朝" w:cs="ＭＳ 明朝" w:hint="eastAsia"/>
          <w:color w:val="000000"/>
        </w:rPr>
        <w:t>附　則（平成２３年規則第３０号）</w:t>
      </w:r>
    </w:p>
    <w:p w:rsidR="00000000" w:rsidRDefault="0064465A">
      <w:pPr>
        <w:spacing w:line="440" w:lineRule="atLeast"/>
        <w:ind w:firstLine="220"/>
        <w:rPr>
          <w:rFonts w:ascii="Century" w:eastAsia="ＭＳ 明朝" w:hAnsi="ＭＳ 明朝" w:cs="ＭＳ 明朝"/>
          <w:color w:val="000000"/>
        </w:rPr>
      </w:pPr>
      <w:r>
        <w:rPr>
          <w:rFonts w:ascii="Century" w:eastAsia="ＭＳ 明朝" w:hAnsi="ＭＳ 明朝" w:cs="ＭＳ 明朝" w:hint="eastAsia"/>
          <w:color w:val="000000"/>
        </w:rPr>
        <w:t>この規則は、公布の日から施行する。</w:t>
      </w:r>
    </w:p>
    <w:p w:rsidR="00000000" w:rsidRDefault="0064465A">
      <w:pPr>
        <w:spacing w:line="440" w:lineRule="atLeast"/>
        <w:ind w:left="660"/>
        <w:rPr>
          <w:rFonts w:ascii="Century" w:eastAsia="ＭＳ 明朝" w:hAnsi="ＭＳ 明朝" w:cs="ＭＳ 明朝"/>
          <w:color w:val="000000"/>
        </w:rPr>
      </w:pPr>
      <w:r>
        <w:rPr>
          <w:rFonts w:ascii="Century" w:eastAsia="ＭＳ 明朝" w:hAnsi="ＭＳ 明朝" w:cs="ＭＳ 明朝" w:hint="eastAsia"/>
          <w:color w:val="000000"/>
        </w:rPr>
        <w:t>附　則（平成２７年規則第２３号）</w:t>
      </w:r>
    </w:p>
    <w:p w:rsidR="00000000" w:rsidRDefault="0064465A">
      <w:pPr>
        <w:spacing w:line="440" w:lineRule="atLeast"/>
        <w:ind w:firstLine="220"/>
        <w:rPr>
          <w:rFonts w:ascii="Century" w:eastAsia="ＭＳ 明朝" w:hAnsi="ＭＳ 明朝" w:cs="ＭＳ 明朝"/>
          <w:color w:val="000000"/>
        </w:rPr>
      </w:pPr>
      <w:r>
        <w:rPr>
          <w:rFonts w:ascii="Century" w:eastAsia="ＭＳ 明朝" w:hAnsi="ＭＳ 明朝" w:cs="ＭＳ 明朝" w:hint="eastAsia"/>
          <w:color w:val="000000"/>
        </w:rPr>
        <w:t>この規則は、公布の日から施行し、平成２７年４月１日から適用する。</w:t>
      </w:r>
    </w:p>
    <w:p w:rsidR="00000000" w:rsidRDefault="0064465A">
      <w:pPr>
        <w:rPr>
          <w:sz w:val="24"/>
          <w:szCs w:val="24"/>
        </w:rPr>
        <w:sectPr w:rsidR="00000000">
          <w:footerReference w:type="default" r:id="rId6"/>
          <w:pgSz w:w="11905" w:h="16837"/>
          <w:pgMar w:top="1984" w:right="1700" w:bottom="1700" w:left="1700" w:header="720" w:footer="720" w:gutter="0"/>
          <w:cols w:space="720"/>
          <w:noEndnote/>
          <w:docGrid w:type="linesAndChars" w:linePitch="365" w:charSpace="-1638"/>
        </w:sectPr>
      </w:pPr>
    </w:p>
    <w:p w:rsidR="00000000" w:rsidRDefault="0064465A">
      <w:pPr>
        <w:spacing w:line="440" w:lineRule="atLeast"/>
        <w:jc w:val="center"/>
        <w:rPr>
          <w:rFonts w:ascii="Century" w:eastAsia="ＭＳ 明朝" w:hAnsi="ＭＳ 明朝" w:cs="ＭＳ 明朝"/>
          <w:color w:val="000000"/>
        </w:rPr>
      </w:pPr>
      <w:r>
        <w:rPr>
          <w:rFonts w:ascii="Century" w:eastAsia="ＭＳ 明朝" w:hAnsi="ＭＳ 明朝" w:cs="ＭＳ 明朝" w:hint="eastAsia"/>
          <w:color w:val="0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614.25pt">
            <v:imagedata r:id="rId7" o:title=""/>
          </v:shape>
        </w:pict>
      </w:r>
    </w:p>
    <w:p w:rsidR="00000000" w:rsidRDefault="0064465A">
      <w:pPr>
        <w:rPr>
          <w:sz w:val="24"/>
          <w:szCs w:val="24"/>
        </w:rPr>
        <w:sectPr w:rsidR="00000000">
          <w:footerReference w:type="default" r:id="rId8"/>
          <w:pgSz w:w="11905" w:h="16837"/>
          <w:pgMar w:top="1984" w:right="1700" w:bottom="1700" w:left="1700" w:header="720" w:footer="720" w:gutter="0"/>
          <w:cols w:space="720"/>
          <w:noEndnote/>
          <w:docGrid w:type="linesAndChars" w:linePitch="365" w:charSpace="-1638"/>
        </w:sectPr>
      </w:pPr>
    </w:p>
    <w:p w:rsidR="00000000" w:rsidRDefault="0064465A">
      <w:pPr>
        <w:spacing w:line="440" w:lineRule="atLeast"/>
        <w:jc w:val="center"/>
        <w:rPr>
          <w:rFonts w:ascii="Century" w:eastAsia="ＭＳ 明朝" w:hAnsi="ＭＳ 明朝" w:cs="ＭＳ 明朝"/>
          <w:color w:val="000000"/>
        </w:rPr>
      </w:pPr>
      <w:r>
        <w:rPr>
          <w:rFonts w:ascii="Century" w:eastAsia="ＭＳ 明朝" w:hAnsi="ＭＳ 明朝" w:cs="ＭＳ 明朝" w:hint="eastAsia"/>
          <w:color w:val="000000"/>
        </w:rPr>
        <w:lastRenderedPageBreak/>
        <w:pict>
          <v:shape id="_x0000_i1026" type="#_x0000_t75" style="width:423pt;height:295.5pt">
            <v:imagedata r:id="rId9" o:title=""/>
          </v:shape>
        </w:pict>
      </w:r>
    </w:p>
    <w:p w:rsidR="00000000" w:rsidRDefault="0064465A">
      <w:pPr>
        <w:rPr>
          <w:sz w:val="24"/>
          <w:szCs w:val="24"/>
        </w:rPr>
        <w:sectPr w:rsidR="00000000">
          <w:footerReference w:type="default" r:id="rId10"/>
          <w:pgSz w:w="11905" w:h="16837"/>
          <w:pgMar w:top="1984" w:right="1700" w:bottom="1700" w:left="1700" w:header="720" w:footer="720" w:gutter="0"/>
          <w:cols w:space="720"/>
          <w:noEndnote/>
          <w:docGrid w:type="linesAndChars" w:linePitch="365" w:charSpace="-1638"/>
        </w:sectPr>
      </w:pPr>
    </w:p>
    <w:p w:rsidR="00000000" w:rsidRDefault="0064465A">
      <w:pPr>
        <w:spacing w:line="440" w:lineRule="atLeast"/>
        <w:jc w:val="center"/>
        <w:rPr>
          <w:rFonts w:ascii="Century" w:eastAsia="ＭＳ 明朝" w:hAnsi="ＭＳ 明朝" w:cs="ＭＳ 明朝"/>
          <w:color w:val="000000"/>
        </w:rPr>
      </w:pPr>
      <w:r>
        <w:rPr>
          <w:rFonts w:ascii="Century" w:eastAsia="ＭＳ 明朝" w:hAnsi="ＭＳ 明朝" w:cs="ＭＳ 明朝" w:hint="eastAsia"/>
          <w:color w:val="000000"/>
        </w:rPr>
        <w:lastRenderedPageBreak/>
        <w:pict>
          <v:shape id="_x0000_i1027" type="#_x0000_t75" style="width:423pt;height:614.25pt">
            <v:imagedata r:id="rId11" o:title=""/>
          </v:shape>
        </w:pict>
      </w:r>
    </w:p>
    <w:p w:rsidR="00000000" w:rsidRDefault="0064465A">
      <w:pPr>
        <w:rPr>
          <w:sz w:val="24"/>
          <w:szCs w:val="24"/>
        </w:rPr>
        <w:sectPr w:rsidR="00000000">
          <w:footerReference w:type="default" r:id="rId12"/>
          <w:pgSz w:w="11905" w:h="16837"/>
          <w:pgMar w:top="1984" w:right="1700" w:bottom="1700" w:left="1700" w:header="720" w:footer="720" w:gutter="0"/>
          <w:cols w:space="720"/>
          <w:noEndnote/>
          <w:docGrid w:type="linesAndChars" w:linePitch="365" w:charSpace="-1638"/>
        </w:sectPr>
      </w:pP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lastRenderedPageBreak/>
        <w:t>様式第１号（第８条第１項）</w:t>
      </w:r>
    </w:p>
    <w:p w:rsidR="00000000" w:rsidRDefault="0064465A">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（平２２規則２４・一部改正）</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様式第２号（第８条第１項）</w:t>
      </w:r>
    </w:p>
    <w:p w:rsidR="00000000" w:rsidRDefault="0064465A">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（平２２規則２４・一部改正）</w:t>
      </w:r>
    </w:p>
    <w:p w:rsidR="00000000" w:rsidRDefault="0064465A">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様式第３号（第８条第３項）</w:t>
      </w:r>
    </w:p>
    <w:p w:rsidR="00000000" w:rsidRDefault="0064465A">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（平２２規則２４・平２３規則３０・一部改正）</w:t>
      </w:r>
    </w:p>
    <w:p w:rsidR="00000000" w:rsidRDefault="0064465A">
      <w:pPr>
        <w:spacing w:line="440" w:lineRule="atLeast"/>
        <w:rPr>
          <w:rFonts w:ascii="Century" w:eastAsia="ＭＳ 明朝" w:hAnsi="ＭＳ 明朝" w:cs="ＭＳ 明朝"/>
          <w:color w:val="000000"/>
        </w:rPr>
      </w:pPr>
      <w:bookmarkStart w:id="1" w:name="last"/>
      <w:bookmarkEnd w:id="1"/>
    </w:p>
    <w:sectPr w:rsidR="00000000">
      <w:footerReference w:type="default" r:id="rId13"/>
      <w:pgSz w:w="11905" w:h="16837"/>
      <w:pgMar w:top="1984" w:right="1700" w:bottom="1700" w:left="1700" w:header="720" w:footer="720" w:gutter="0"/>
      <w:cols w:space="720"/>
      <w:noEndnote/>
      <w:docGrid w:type="linesAndChars" w:linePitch="365"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465A">
      <w:r>
        <w:separator/>
      </w:r>
    </w:p>
  </w:endnote>
  <w:endnote w:type="continuationSeparator" w:id="0">
    <w:p w:rsidR="00000000" w:rsidRDefault="0064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465A">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Pr>
        <w:rFonts w:ascii="Century" w:eastAsia="ＭＳ 明朝" w:hAnsi="ＭＳ 明朝" w:cs="ＭＳ 明朝"/>
        <w:noProof/>
        <w:color w:val="000000"/>
        <w:sz w:val="21"/>
        <w:szCs w:val="21"/>
      </w:rPr>
      <w:t>8</w:t>
    </w:r>
    <w:r>
      <w:rPr>
        <w:rFonts w:ascii="Century" w:eastAsia="ＭＳ 明朝" w:hAnsi="ＭＳ 明朝" w:cs="ＭＳ 明朝"/>
        <w:color w:val="000000"/>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465A">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Pr>
        <w:rFonts w:ascii="Century" w:eastAsia="ＭＳ 明朝" w:hAnsi="ＭＳ 明朝" w:cs="ＭＳ 明朝"/>
        <w:noProof/>
        <w:color w:val="000000"/>
        <w:sz w:val="21"/>
        <w:szCs w:val="21"/>
      </w:rPr>
      <w:t>5</w:t>
    </w:r>
    <w:r>
      <w:rPr>
        <w:rFonts w:ascii="Century" w:eastAsia="ＭＳ 明朝" w:hAnsi="ＭＳ 明朝" w:cs="ＭＳ 明朝"/>
        <w:color w:val="000000"/>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465A">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Pr>
        <w:rFonts w:ascii="Century" w:eastAsia="ＭＳ 明朝" w:hAnsi="ＭＳ 明朝" w:cs="ＭＳ 明朝"/>
        <w:noProof/>
        <w:color w:val="000000"/>
        <w:sz w:val="21"/>
        <w:szCs w:val="21"/>
      </w:rPr>
      <w:t>6</w:t>
    </w:r>
    <w:r>
      <w:rPr>
        <w:rFonts w:ascii="Century" w:eastAsia="ＭＳ 明朝" w:hAnsi="ＭＳ 明朝" w:cs="ＭＳ 明朝"/>
        <w:color w:val="000000"/>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465A">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Pr>
        <w:rFonts w:ascii="Century" w:eastAsia="ＭＳ 明朝" w:hAnsi="ＭＳ 明朝" w:cs="ＭＳ 明朝"/>
        <w:noProof/>
        <w:color w:val="000000"/>
        <w:sz w:val="21"/>
        <w:szCs w:val="21"/>
      </w:rPr>
      <w:t>7</w:t>
    </w:r>
    <w:r>
      <w:rPr>
        <w:rFonts w:ascii="Century" w:eastAsia="ＭＳ 明朝" w:hAnsi="ＭＳ 明朝" w:cs="ＭＳ 明朝"/>
        <w:color w:val="000000"/>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465A">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Pr>
        <w:rFonts w:ascii="Century" w:eastAsia="ＭＳ 明朝" w:hAnsi="ＭＳ 明朝" w:cs="ＭＳ 明朝"/>
        <w:noProof/>
        <w:color w:val="000000"/>
        <w:sz w:val="21"/>
        <w:szCs w:val="21"/>
      </w:rPr>
      <w:t>8</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465A">
      <w:r>
        <w:separator/>
      </w:r>
    </w:p>
  </w:footnote>
  <w:footnote w:type="continuationSeparator" w:id="0">
    <w:p w:rsidR="00000000" w:rsidRDefault="00644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06"/>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465A"/>
    <w:rsid w:val="0064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65B86E35.dotm</Template>
  <TotalTime>0</TotalTime>
  <Pages>8</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yotsukaido</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 結以</dc:creator>
  <cp:lastModifiedBy>上野 結以</cp:lastModifiedBy>
  <cp:revision>2</cp:revision>
  <dcterms:created xsi:type="dcterms:W3CDTF">2018-01-17T05:41:00Z</dcterms:created>
  <dcterms:modified xsi:type="dcterms:W3CDTF">2018-01-17T05:41:00Z</dcterms:modified>
</cp:coreProperties>
</file>